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F36" w:rsidRPr="006212C9" w:rsidRDefault="003C3F36" w:rsidP="003C3F36">
      <w:pPr>
        <w:pBdr>
          <w:top w:val="single" w:sz="4" w:space="1" w:color="auto"/>
          <w:left w:val="single" w:sz="4" w:space="4" w:color="auto"/>
          <w:bottom w:val="single" w:sz="4" w:space="1" w:color="auto"/>
          <w:right w:val="single" w:sz="4" w:space="4" w:color="auto"/>
        </w:pBdr>
        <w:jc w:val="center"/>
        <w:rPr>
          <w:b/>
          <w:sz w:val="28"/>
          <w:szCs w:val="28"/>
        </w:rPr>
      </w:pPr>
      <w:r w:rsidRPr="006212C9">
        <w:rPr>
          <w:b/>
          <w:sz w:val="28"/>
          <w:szCs w:val="28"/>
        </w:rPr>
        <w:t>PPL tendant à abroger la majoration des droits à construire</w:t>
      </w:r>
    </w:p>
    <w:p w:rsidR="003C3F36" w:rsidRPr="006212C9" w:rsidRDefault="003C3F36" w:rsidP="003C3F36">
      <w:pPr>
        <w:pBdr>
          <w:top w:val="single" w:sz="4" w:space="1" w:color="auto"/>
          <w:left w:val="single" w:sz="4" w:space="4" w:color="auto"/>
          <w:bottom w:val="single" w:sz="4" w:space="1" w:color="auto"/>
          <w:right w:val="single" w:sz="4" w:space="4" w:color="auto"/>
        </w:pBdr>
        <w:jc w:val="center"/>
        <w:rPr>
          <w:b/>
          <w:sz w:val="28"/>
          <w:szCs w:val="28"/>
        </w:rPr>
      </w:pPr>
      <w:r w:rsidRPr="006212C9">
        <w:rPr>
          <w:b/>
          <w:sz w:val="28"/>
          <w:szCs w:val="28"/>
        </w:rPr>
        <w:t>Séance publique du Sénat</w:t>
      </w:r>
    </w:p>
    <w:p w:rsidR="003C3F36" w:rsidRDefault="003C3F36" w:rsidP="003C3F36">
      <w:pPr>
        <w:pBdr>
          <w:top w:val="single" w:sz="4" w:space="1" w:color="auto"/>
          <w:left w:val="single" w:sz="4" w:space="4" w:color="auto"/>
          <w:bottom w:val="single" w:sz="4" w:space="1" w:color="auto"/>
          <w:right w:val="single" w:sz="4" w:space="4" w:color="auto"/>
        </w:pBdr>
        <w:jc w:val="center"/>
        <w:rPr>
          <w:b/>
          <w:sz w:val="28"/>
          <w:szCs w:val="28"/>
        </w:rPr>
      </w:pPr>
      <w:r w:rsidRPr="006212C9">
        <w:rPr>
          <w:b/>
          <w:sz w:val="28"/>
          <w:szCs w:val="28"/>
        </w:rPr>
        <w:t>Mardi 10 juillet 2012 – 14h30</w:t>
      </w:r>
    </w:p>
    <w:p w:rsidR="003C3F36" w:rsidRPr="006212C9" w:rsidRDefault="003C3F36" w:rsidP="003C3F36">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Amendement de Philippe Kaltenbach</w:t>
      </w:r>
    </w:p>
    <w:p w:rsidR="009D2CB9" w:rsidRDefault="009D2CB9"/>
    <w:p w:rsidR="003C3F36" w:rsidRDefault="003C3F36" w:rsidP="003C3F36">
      <w:pPr>
        <w:autoSpaceDE w:val="0"/>
        <w:autoSpaceDN w:val="0"/>
        <w:adjustRightInd w:val="0"/>
        <w:spacing w:after="0" w:line="240" w:lineRule="auto"/>
        <w:jc w:val="center"/>
        <w:rPr>
          <w:rFonts w:ascii="Times New Roman" w:hAnsi="Times New Roman" w:cs="Times New Roman"/>
          <w:sz w:val="24"/>
          <w:szCs w:val="24"/>
        </w:rPr>
      </w:pPr>
    </w:p>
    <w:p w:rsidR="003C3F36" w:rsidRPr="00454907" w:rsidRDefault="003C3F36" w:rsidP="003C3F36">
      <w:pPr>
        <w:autoSpaceDE w:val="0"/>
        <w:autoSpaceDN w:val="0"/>
        <w:adjustRightInd w:val="0"/>
        <w:spacing w:after="0" w:line="240" w:lineRule="auto"/>
        <w:jc w:val="center"/>
        <w:rPr>
          <w:sz w:val="24"/>
          <w:szCs w:val="24"/>
        </w:rPr>
      </w:pPr>
      <w:r w:rsidRPr="00454907">
        <w:rPr>
          <w:sz w:val="24"/>
          <w:szCs w:val="24"/>
        </w:rPr>
        <w:t>Article additionnel après l’article 2</w:t>
      </w:r>
    </w:p>
    <w:p w:rsidR="003C3F36" w:rsidRPr="00454907" w:rsidRDefault="003C3F36" w:rsidP="003C3F36">
      <w:pPr>
        <w:autoSpaceDE w:val="0"/>
        <w:autoSpaceDN w:val="0"/>
        <w:adjustRightInd w:val="0"/>
        <w:spacing w:before="240" w:after="120" w:line="240" w:lineRule="auto"/>
        <w:ind w:left="547" w:right="547"/>
        <w:jc w:val="both"/>
        <w:rPr>
          <w:sz w:val="24"/>
          <w:szCs w:val="24"/>
        </w:rPr>
      </w:pPr>
      <w:r w:rsidRPr="00454907">
        <w:rPr>
          <w:sz w:val="24"/>
          <w:szCs w:val="24"/>
        </w:rPr>
        <w:t>Le 2ème alinéa de l’article L. 123-10 du code de l’urbanisme est ainsi rédigé :</w:t>
      </w:r>
    </w:p>
    <w:p w:rsidR="003C3F36" w:rsidRPr="00454907" w:rsidRDefault="003C3F36" w:rsidP="003C3F36">
      <w:pPr>
        <w:autoSpaceDE w:val="0"/>
        <w:autoSpaceDN w:val="0"/>
        <w:adjustRightInd w:val="0"/>
        <w:spacing w:before="240" w:after="120" w:line="240" w:lineRule="auto"/>
        <w:ind w:left="547" w:right="547"/>
        <w:jc w:val="both"/>
        <w:rPr>
          <w:sz w:val="24"/>
          <w:szCs w:val="24"/>
        </w:rPr>
      </w:pPr>
      <w:r w:rsidRPr="00454907">
        <w:rPr>
          <w:sz w:val="24"/>
          <w:szCs w:val="24"/>
        </w:rPr>
        <w:t>« Après l’enquête publique réalisée conformément au chapitre III du titre II du livre 1er du Code de l’environnement, le président de l’établissement public de coopération intercommunale ou le maire présente la synthèse des observations des personnes publiques consultées, des associations agréées de protection de l’environnement et du public et la manière dont il en est tenu compte ou non par le plan local d’urbanisme éventuellement modifié, à l’organe délibérant de l’établissement public ou au conseil municipal. La synthèse de ces observations et la manière dont elles sont prises en compte par le plan local d’urbanisme sont tenues à la disposition du public au moins quinze jours avant que l’approbation du plan local d’urbanisme par délibération de l’organe délibérant de l’établissement public de coopération intercommunale ou, dans le cas prévu par le deuxième alinéa de l’article L. 123-6 du conseil municipal. »</w:t>
      </w:r>
    </w:p>
    <w:p w:rsidR="001045CC" w:rsidRPr="00454907" w:rsidRDefault="001045CC">
      <w:pPr>
        <w:rPr>
          <w:sz w:val="24"/>
          <w:szCs w:val="24"/>
        </w:rPr>
      </w:pPr>
    </w:p>
    <w:p w:rsidR="003C3F36" w:rsidRPr="00454907" w:rsidRDefault="003C3F36" w:rsidP="001045CC">
      <w:pPr>
        <w:spacing w:line="360" w:lineRule="auto"/>
        <w:rPr>
          <w:sz w:val="24"/>
          <w:szCs w:val="24"/>
        </w:rPr>
      </w:pPr>
      <w:r w:rsidRPr="00454907">
        <w:rPr>
          <w:sz w:val="24"/>
          <w:szCs w:val="24"/>
        </w:rPr>
        <w:t>Explication de l’amendement :</w:t>
      </w:r>
    </w:p>
    <w:p w:rsidR="003C3F36" w:rsidRPr="00454907" w:rsidRDefault="003C3F36" w:rsidP="001045CC">
      <w:pPr>
        <w:spacing w:line="360" w:lineRule="auto"/>
        <w:rPr>
          <w:sz w:val="24"/>
          <w:szCs w:val="24"/>
        </w:rPr>
      </w:pPr>
      <w:r w:rsidRPr="00454907">
        <w:rPr>
          <w:sz w:val="24"/>
          <w:szCs w:val="24"/>
        </w:rPr>
        <w:t>Monsieur le Président,</w:t>
      </w:r>
    </w:p>
    <w:p w:rsidR="003C3F36" w:rsidRPr="00454907" w:rsidRDefault="003C3F36" w:rsidP="001045CC">
      <w:pPr>
        <w:spacing w:line="360" w:lineRule="auto"/>
        <w:rPr>
          <w:sz w:val="24"/>
          <w:szCs w:val="24"/>
        </w:rPr>
      </w:pPr>
      <w:r w:rsidRPr="00454907">
        <w:rPr>
          <w:sz w:val="24"/>
          <w:szCs w:val="24"/>
        </w:rPr>
        <w:t>Madame la Ministre,</w:t>
      </w:r>
    </w:p>
    <w:p w:rsidR="001045CC" w:rsidRPr="00454907" w:rsidRDefault="003C3F36" w:rsidP="001045CC">
      <w:pPr>
        <w:spacing w:line="360" w:lineRule="auto"/>
        <w:rPr>
          <w:sz w:val="24"/>
          <w:szCs w:val="24"/>
        </w:rPr>
      </w:pPr>
      <w:r w:rsidRPr="00454907">
        <w:rPr>
          <w:sz w:val="24"/>
          <w:szCs w:val="24"/>
        </w:rPr>
        <w:t>Mes Cher(e)s Collègues,</w:t>
      </w:r>
    </w:p>
    <w:p w:rsidR="001045CC" w:rsidRPr="00454907" w:rsidRDefault="003C3F36" w:rsidP="001045CC">
      <w:pPr>
        <w:autoSpaceDE w:val="0"/>
        <w:autoSpaceDN w:val="0"/>
        <w:adjustRightInd w:val="0"/>
        <w:spacing w:before="240" w:after="120" w:line="360" w:lineRule="auto"/>
        <w:jc w:val="both"/>
        <w:rPr>
          <w:sz w:val="24"/>
          <w:szCs w:val="24"/>
        </w:rPr>
      </w:pPr>
      <w:r w:rsidRPr="00454907">
        <w:rPr>
          <w:sz w:val="24"/>
          <w:szCs w:val="24"/>
        </w:rPr>
        <w:t xml:space="preserve">Il était important de soumettre </w:t>
      </w:r>
      <w:r w:rsidR="000E13E0" w:rsidRPr="00454907">
        <w:rPr>
          <w:sz w:val="24"/>
          <w:szCs w:val="24"/>
        </w:rPr>
        <w:t>rapidement à l’examen de notre haute a</w:t>
      </w:r>
      <w:r w:rsidRPr="00454907">
        <w:rPr>
          <w:sz w:val="24"/>
          <w:szCs w:val="24"/>
        </w:rPr>
        <w:t>ssemblée l’abrogation de la loi du 20 mars 2012 relative à la majoration des droits à construire.</w:t>
      </w:r>
    </w:p>
    <w:p w:rsidR="003C3F36" w:rsidRPr="00454907" w:rsidRDefault="003C3F36" w:rsidP="001045CC">
      <w:pPr>
        <w:autoSpaceDE w:val="0"/>
        <w:autoSpaceDN w:val="0"/>
        <w:adjustRightInd w:val="0"/>
        <w:spacing w:before="240" w:after="120" w:line="360" w:lineRule="auto"/>
        <w:jc w:val="both"/>
        <w:rPr>
          <w:sz w:val="24"/>
          <w:szCs w:val="24"/>
        </w:rPr>
      </w:pPr>
      <w:r w:rsidRPr="00454907">
        <w:rPr>
          <w:sz w:val="24"/>
          <w:szCs w:val="24"/>
        </w:rPr>
        <w:t xml:space="preserve">Important, car celle-ci est redondante avec le droit existant, « recentralisatrice » et susceptible de créer de futurs recours contentieux. </w:t>
      </w:r>
    </w:p>
    <w:p w:rsidR="000E13E0" w:rsidRPr="00454907" w:rsidRDefault="000E13E0" w:rsidP="001045CC">
      <w:pPr>
        <w:autoSpaceDE w:val="0"/>
        <w:autoSpaceDN w:val="0"/>
        <w:adjustRightInd w:val="0"/>
        <w:spacing w:before="240" w:after="120" w:line="360" w:lineRule="auto"/>
        <w:jc w:val="both"/>
        <w:rPr>
          <w:sz w:val="24"/>
          <w:szCs w:val="24"/>
        </w:rPr>
      </w:pPr>
      <w:r w:rsidRPr="00454907">
        <w:rPr>
          <w:sz w:val="24"/>
          <w:szCs w:val="24"/>
        </w:rPr>
        <w:t>Toutefois, cette loi présent</w:t>
      </w:r>
      <w:r w:rsidR="00C065B6" w:rsidRPr="00454907">
        <w:rPr>
          <w:sz w:val="24"/>
          <w:szCs w:val="24"/>
        </w:rPr>
        <w:t>e</w:t>
      </w:r>
      <w:r w:rsidRPr="00454907">
        <w:rPr>
          <w:sz w:val="24"/>
          <w:szCs w:val="24"/>
        </w:rPr>
        <w:t xml:space="preserve"> tout de même une avancée.</w:t>
      </w:r>
    </w:p>
    <w:p w:rsidR="001045CC" w:rsidRPr="00454907" w:rsidRDefault="001045CC" w:rsidP="001045CC">
      <w:pPr>
        <w:autoSpaceDE w:val="0"/>
        <w:autoSpaceDN w:val="0"/>
        <w:adjustRightInd w:val="0"/>
        <w:spacing w:before="240" w:after="120" w:line="360" w:lineRule="auto"/>
        <w:jc w:val="both"/>
        <w:rPr>
          <w:sz w:val="24"/>
          <w:szCs w:val="24"/>
        </w:rPr>
      </w:pPr>
    </w:p>
    <w:p w:rsidR="001045CC" w:rsidRPr="00454907" w:rsidRDefault="00C065B6" w:rsidP="001045CC">
      <w:pPr>
        <w:autoSpaceDE w:val="0"/>
        <w:autoSpaceDN w:val="0"/>
        <w:adjustRightInd w:val="0"/>
        <w:spacing w:before="240" w:after="120" w:line="360" w:lineRule="auto"/>
        <w:jc w:val="both"/>
        <w:rPr>
          <w:sz w:val="24"/>
          <w:szCs w:val="24"/>
        </w:rPr>
      </w:pPr>
      <w:r w:rsidRPr="00454907">
        <w:rPr>
          <w:sz w:val="24"/>
          <w:szCs w:val="24"/>
        </w:rPr>
        <w:lastRenderedPageBreak/>
        <w:t xml:space="preserve">Pas </w:t>
      </w:r>
      <w:r w:rsidR="00E84489" w:rsidRPr="00454907">
        <w:rPr>
          <w:sz w:val="24"/>
          <w:szCs w:val="24"/>
        </w:rPr>
        <w:t xml:space="preserve">une avancée </w:t>
      </w:r>
      <w:r w:rsidRPr="00454907">
        <w:rPr>
          <w:sz w:val="24"/>
          <w:szCs w:val="24"/>
        </w:rPr>
        <w:t>en matière de politique du logement et de réponse</w:t>
      </w:r>
      <w:r w:rsidR="00E84489" w:rsidRPr="00454907">
        <w:rPr>
          <w:sz w:val="24"/>
          <w:szCs w:val="24"/>
        </w:rPr>
        <w:t>s</w:t>
      </w:r>
      <w:r w:rsidRPr="00454907">
        <w:rPr>
          <w:sz w:val="24"/>
          <w:szCs w:val="24"/>
        </w:rPr>
        <w:t xml:space="preserve"> à apporter à la grave crise que nous connaissons.</w:t>
      </w:r>
    </w:p>
    <w:p w:rsidR="001045CC" w:rsidRPr="00454907" w:rsidRDefault="00C065B6" w:rsidP="001045CC">
      <w:pPr>
        <w:autoSpaceDE w:val="0"/>
        <w:autoSpaceDN w:val="0"/>
        <w:adjustRightInd w:val="0"/>
        <w:spacing w:before="240" w:after="120" w:line="360" w:lineRule="auto"/>
        <w:jc w:val="both"/>
        <w:rPr>
          <w:sz w:val="24"/>
          <w:szCs w:val="24"/>
        </w:rPr>
      </w:pPr>
      <w:r w:rsidRPr="00454907">
        <w:rPr>
          <w:sz w:val="24"/>
          <w:szCs w:val="24"/>
        </w:rPr>
        <w:t>Non</w:t>
      </w:r>
      <w:r w:rsidR="00E84489" w:rsidRPr="00454907">
        <w:rPr>
          <w:sz w:val="24"/>
          <w:szCs w:val="24"/>
        </w:rPr>
        <w:t>,</w:t>
      </w:r>
      <w:r w:rsidRPr="00454907">
        <w:rPr>
          <w:sz w:val="24"/>
          <w:szCs w:val="24"/>
        </w:rPr>
        <w:t xml:space="preserve"> bien sûr. </w:t>
      </w:r>
    </w:p>
    <w:p w:rsidR="001045CC" w:rsidRPr="00454907" w:rsidRDefault="00C065B6" w:rsidP="001045CC">
      <w:pPr>
        <w:autoSpaceDE w:val="0"/>
        <w:autoSpaceDN w:val="0"/>
        <w:adjustRightInd w:val="0"/>
        <w:spacing w:before="240" w:after="120" w:line="360" w:lineRule="auto"/>
        <w:jc w:val="both"/>
        <w:rPr>
          <w:sz w:val="24"/>
          <w:szCs w:val="24"/>
        </w:rPr>
      </w:pPr>
      <w:r w:rsidRPr="00454907">
        <w:rPr>
          <w:sz w:val="24"/>
          <w:szCs w:val="24"/>
        </w:rPr>
        <w:t>Cette loi présente une avancé en matière de participation citoyenne aux projets d’urbanisme.</w:t>
      </w:r>
    </w:p>
    <w:p w:rsidR="001045CC" w:rsidRPr="00454907" w:rsidRDefault="000E13E0" w:rsidP="001045CC">
      <w:pPr>
        <w:autoSpaceDE w:val="0"/>
        <w:autoSpaceDN w:val="0"/>
        <w:adjustRightInd w:val="0"/>
        <w:spacing w:before="240" w:after="120" w:line="360" w:lineRule="auto"/>
        <w:jc w:val="both"/>
        <w:rPr>
          <w:sz w:val="24"/>
          <w:szCs w:val="24"/>
        </w:rPr>
      </w:pPr>
      <w:r w:rsidRPr="00454907">
        <w:rPr>
          <w:sz w:val="24"/>
          <w:szCs w:val="24"/>
        </w:rPr>
        <w:t xml:space="preserve">La procédure liée à la mise en place de la note d’information du public nécessaire pour appliquer, ou ne pas appliquer la majoration des droits à construire, fait </w:t>
      </w:r>
      <w:r w:rsidR="00C065B6" w:rsidRPr="00454907">
        <w:rPr>
          <w:sz w:val="24"/>
          <w:szCs w:val="24"/>
        </w:rPr>
        <w:t xml:space="preserve">en effet </w:t>
      </w:r>
      <w:r w:rsidRPr="00454907">
        <w:rPr>
          <w:sz w:val="24"/>
          <w:szCs w:val="24"/>
        </w:rPr>
        <w:t xml:space="preserve">obligation </w:t>
      </w:r>
      <w:r w:rsidR="003C3F36" w:rsidRPr="00454907">
        <w:rPr>
          <w:sz w:val="24"/>
          <w:szCs w:val="24"/>
        </w:rPr>
        <w:t>aux collectivités de rendre compte aux citoyens des observations recueillies dans le cadre de</w:t>
      </w:r>
      <w:r w:rsidRPr="00454907">
        <w:rPr>
          <w:sz w:val="24"/>
          <w:szCs w:val="24"/>
        </w:rPr>
        <w:t xml:space="preserve"> cette note.</w:t>
      </w:r>
    </w:p>
    <w:p w:rsidR="001045CC" w:rsidRPr="00454907" w:rsidRDefault="00C065B6" w:rsidP="001045CC">
      <w:pPr>
        <w:autoSpaceDE w:val="0"/>
        <w:autoSpaceDN w:val="0"/>
        <w:adjustRightInd w:val="0"/>
        <w:spacing w:before="240" w:after="120" w:line="360" w:lineRule="auto"/>
        <w:jc w:val="both"/>
        <w:rPr>
          <w:sz w:val="24"/>
          <w:szCs w:val="24"/>
        </w:rPr>
      </w:pPr>
      <w:r w:rsidRPr="00454907">
        <w:rPr>
          <w:sz w:val="24"/>
          <w:szCs w:val="24"/>
        </w:rPr>
        <w:t>Pour être plus précis</w:t>
      </w:r>
      <w:r w:rsidR="003C3F36" w:rsidRPr="00454907">
        <w:rPr>
          <w:sz w:val="24"/>
          <w:szCs w:val="24"/>
        </w:rPr>
        <w:t>, la loi du 20 mars relative à la majoration des</w:t>
      </w:r>
      <w:r w:rsidR="001045CC" w:rsidRPr="00454907">
        <w:rPr>
          <w:sz w:val="24"/>
          <w:szCs w:val="24"/>
        </w:rPr>
        <w:t xml:space="preserve"> droits à construire dispose que : </w:t>
      </w:r>
    </w:p>
    <w:p w:rsidR="001045CC" w:rsidRPr="00454907" w:rsidRDefault="003C3F36" w:rsidP="001045CC">
      <w:pPr>
        <w:autoSpaceDE w:val="0"/>
        <w:autoSpaceDN w:val="0"/>
        <w:adjustRightInd w:val="0"/>
        <w:spacing w:before="240" w:after="120" w:line="360" w:lineRule="auto"/>
        <w:jc w:val="both"/>
        <w:rPr>
          <w:sz w:val="24"/>
          <w:szCs w:val="24"/>
        </w:rPr>
      </w:pPr>
      <w:r w:rsidRPr="00454907">
        <w:rPr>
          <w:sz w:val="24"/>
          <w:szCs w:val="24"/>
        </w:rPr>
        <w:t>« à l’issue de la mise à disposition de la note d’information mentionnée au même premier alinéa, le président de l’établissement public ou le maire présente la synthèse des observations du public à l’organe délibérant de l’établissement public ou au conseil municipal. Cette synthèse est tenue à disposition du public. Un avis précisant le lieu dans lequel elle est tenue à disposition du public fait l’objet des mesures d’affichage et, le cas échéant, de publicité applicables aux actes modifiant un plan local d’urbanisme ».</w:t>
      </w:r>
    </w:p>
    <w:p w:rsidR="000E13E0" w:rsidRPr="00454907" w:rsidRDefault="000E13E0" w:rsidP="001045CC">
      <w:pPr>
        <w:autoSpaceDE w:val="0"/>
        <w:autoSpaceDN w:val="0"/>
        <w:adjustRightInd w:val="0"/>
        <w:spacing w:before="240" w:after="120" w:line="360" w:lineRule="auto"/>
        <w:jc w:val="both"/>
        <w:rPr>
          <w:sz w:val="24"/>
          <w:szCs w:val="24"/>
        </w:rPr>
      </w:pPr>
      <w:r w:rsidRPr="00454907">
        <w:rPr>
          <w:sz w:val="24"/>
          <w:szCs w:val="24"/>
        </w:rPr>
        <w:t>Il me semble important que cette</w:t>
      </w:r>
      <w:r w:rsidR="003C3F36" w:rsidRPr="00454907">
        <w:rPr>
          <w:sz w:val="24"/>
          <w:szCs w:val="24"/>
        </w:rPr>
        <w:t xml:space="preserve"> avancée </w:t>
      </w:r>
      <w:r w:rsidRPr="00454907">
        <w:rPr>
          <w:sz w:val="24"/>
          <w:szCs w:val="24"/>
        </w:rPr>
        <w:t>soit</w:t>
      </w:r>
      <w:r w:rsidR="003C3F36" w:rsidRPr="00454907">
        <w:rPr>
          <w:sz w:val="24"/>
          <w:szCs w:val="24"/>
        </w:rPr>
        <w:t xml:space="preserve"> reprise dans</w:t>
      </w:r>
      <w:r w:rsidRPr="00454907">
        <w:rPr>
          <w:sz w:val="24"/>
          <w:szCs w:val="24"/>
        </w:rPr>
        <w:t xml:space="preserve"> le cadre de </w:t>
      </w:r>
      <w:r w:rsidR="003C3F36" w:rsidRPr="00454907">
        <w:rPr>
          <w:sz w:val="24"/>
          <w:szCs w:val="24"/>
        </w:rPr>
        <w:t xml:space="preserve">l’élaboration ou </w:t>
      </w:r>
      <w:r w:rsidRPr="00454907">
        <w:rPr>
          <w:sz w:val="24"/>
          <w:szCs w:val="24"/>
        </w:rPr>
        <w:t xml:space="preserve">de </w:t>
      </w:r>
      <w:r w:rsidR="003C3F36" w:rsidRPr="00454907">
        <w:rPr>
          <w:sz w:val="24"/>
          <w:szCs w:val="24"/>
        </w:rPr>
        <w:t>la modification des plans locaux d’urbanisme</w:t>
      </w:r>
      <w:r w:rsidRPr="00454907">
        <w:rPr>
          <w:sz w:val="24"/>
          <w:szCs w:val="24"/>
        </w:rPr>
        <w:t>.</w:t>
      </w:r>
    </w:p>
    <w:p w:rsidR="001045CC" w:rsidRPr="00454907" w:rsidRDefault="00C065B6" w:rsidP="001045CC">
      <w:pPr>
        <w:autoSpaceDE w:val="0"/>
        <w:autoSpaceDN w:val="0"/>
        <w:adjustRightInd w:val="0"/>
        <w:spacing w:before="240" w:after="120" w:line="360" w:lineRule="auto"/>
        <w:jc w:val="both"/>
        <w:rPr>
          <w:sz w:val="24"/>
          <w:szCs w:val="24"/>
        </w:rPr>
      </w:pPr>
      <w:r w:rsidRPr="00454907">
        <w:rPr>
          <w:sz w:val="24"/>
          <w:szCs w:val="24"/>
        </w:rPr>
        <w:t>E</w:t>
      </w:r>
      <w:r w:rsidR="003C3F36" w:rsidRPr="00454907">
        <w:rPr>
          <w:sz w:val="24"/>
          <w:szCs w:val="24"/>
        </w:rPr>
        <w:t>lle permet</w:t>
      </w:r>
      <w:r w:rsidRPr="00454907">
        <w:rPr>
          <w:sz w:val="24"/>
          <w:szCs w:val="24"/>
        </w:rPr>
        <w:t>trait</w:t>
      </w:r>
      <w:r w:rsidR="003C3F36" w:rsidRPr="00454907">
        <w:rPr>
          <w:sz w:val="24"/>
          <w:szCs w:val="24"/>
        </w:rPr>
        <w:t xml:space="preserve"> de mettre le droit en conformité avec </w:t>
      </w:r>
      <w:r w:rsidRPr="00454907">
        <w:rPr>
          <w:sz w:val="24"/>
          <w:szCs w:val="24"/>
        </w:rPr>
        <w:t xml:space="preserve">l’esprit de </w:t>
      </w:r>
      <w:r w:rsidR="003C3F36" w:rsidRPr="00454907">
        <w:rPr>
          <w:sz w:val="24"/>
          <w:szCs w:val="24"/>
        </w:rPr>
        <w:t>l’article 7 de la Charte de l’environnement</w:t>
      </w:r>
      <w:r w:rsidRPr="00454907">
        <w:rPr>
          <w:sz w:val="24"/>
          <w:szCs w:val="24"/>
        </w:rPr>
        <w:t> :</w:t>
      </w:r>
    </w:p>
    <w:p w:rsidR="00C065B6" w:rsidRPr="00454907" w:rsidRDefault="00C065B6" w:rsidP="001045CC">
      <w:pPr>
        <w:autoSpaceDE w:val="0"/>
        <w:autoSpaceDN w:val="0"/>
        <w:adjustRightInd w:val="0"/>
        <w:spacing w:before="240" w:after="120" w:line="360" w:lineRule="auto"/>
        <w:jc w:val="both"/>
        <w:rPr>
          <w:i/>
          <w:sz w:val="24"/>
          <w:szCs w:val="24"/>
        </w:rPr>
      </w:pPr>
      <w:r w:rsidRPr="00454907">
        <w:rPr>
          <w:i/>
          <w:sz w:val="24"/>
          <w:szCs w:val="24"/>
        </w:rPr>
        <w:t>Article 7. - Toute personne a le droit, dans les conditions et les limites définies par la loi, d'accéder aux informations relatives à l'environnement détenues par les autorités publiques et de participer à l'élaboration des décisions publiques ayant une incidence sur l'environnement.</w:t>
      </w:r>
    </w:p>
    <w:p w:rsidR="001045CC" w:rsidRPr="00454907" w:rsidRDefault="001045CC" w:rsidP="001045CC">
      <w:pPr>
        <w:autoSpaceDE w:val="0"/>
        <w:autoSpaceDN w:val="0"/>
        <w:adjustRightInd w:val="0"/>
        <w:spacing w:before="240" w:after="120" w:line="360" w:lineRule="auto"/>
        <w:jc w:val="both"/>
        <w:rPr>
          <w:sz w:val="24"/>
          <w:szCs w:val="24"/>
        </w:rPr>
      </w:pPr>
    </w:p>
    <w:p w:rsidR="001045CC" w:rsidRPr="00454907" w:rsidRDefault="00C065B6" w:rsidP="001045CC">
      <w:pPr>
        <w:autoSpaceDE w:val="0"/>
        <w:autoSpaceDN w:val="0"/>
        <w:adjustRightInd w:val="0"/>
        <w:spacing w:before="240" w:after="120" w:line="360" w:lineRule="auto"/>
        <w:jc w:val="both"/>
        <w:rPr>
          <w:sz w:val="24"/>
          <w:szCs w:val="24"/>
        </w:rPr>
      </w:pPr>
      <w:r w:rsidRPr="00454907">
        <w:rPr>
          <w:sz w:val="24"/>
          <w:szCs w:val="24"/>
        </w:rPr>
        <w:lastRenderedPageBreak/>
        <w:t>Elle offrirait aussi une mise en conformité avec l’esprit de</w:t>
      </w:r>
      <w:r w:rsidR="003C3F36" w:rsidRPr="00454907">
        <w:rPr>
          <w:sz w:val="24"/>
          <w:szCs w:val="24"/>
        </w:rPr>
        <w:t xml:space="preserve"> la Convention d’Aarhus</w:t>
      </w:r>
      <w:r w:rsidRPr="00454907">
        <w:rPr>
          <w:sz w:val="24"/>
          <w:szCs w:val="24"/>
        </w:rPr>
        <w:t xml:space="preserve"> qui porte sur l'</w:t>
      </w:r>
      <w:hyperlink r:id="rId7" w:tooltip="Droit à l'information" w:history="1">
        <w:r w:rsidRPr="00454907">
          <w:rPr>
            <w:sz w:val="24"/>
            <w:szCs w:val="24"/>
          </w:rPr>
          <w:t>accès à l'information</w:t>
        </w:r>
      </w:hyperlink>
      <w:r w:rsidRPr="00454907">
        <w:rPr>
          <w:sz w:val="24"/>
          <w:szCs w:val="24"/>
        </w:rPr>
        <w:t xml:space="preserve">, la </w:t>
      </w:r>
      <w:hyperlink r:id="rId8" w:tooltip="Participation" w:history="1">
        <w:r w:rsidRPr="00454907">
          <w:rPr>
            <w:sz w:val="24"/>
            <w:szCs w:val="24"/>
          </w:rPr>
          <w:t>participation</w:t>
        </w:r>
      </w:hyperlink>
      <w:r w:rsidRPr="00454907">
        <w:rPr>
          <w:sz w:val="24"/>
          <w:szCs w:val="24"/>
        </w:rPr>
        <w:t xml:space="preserve"> du public et l'accès à la justice en matière d'</w:t>
      </w:r>
      <w:hyperlink r:id="rId9" w:tooltip="Environnement" w:history="1">
        <w:r w:rsidRPr="00454907">
          <w:rPr>
            <w:sz w:val="24"/>
            <w:szCs w:val="24"/>
          </w:rPr>
          <w:t>environnement</w:t>
        </w:r>
      </w:hyperlink>
      <w:r w:rsidRPr="00454907">
        <w:rPr>
          <w:sz w:val="24"/>
          <w:szCs w:val="24"/>
        </w:rPr>
        <w:t xml:space="preserve">, et qui a été signée le </w:t>
      </w:r>
      <w:hyperlink r:id="rId10" w:tooltip="25 juin" w:history="1">
        <w:r w:rsidRPr="00454907">
          <w:rPr>
            <w:sz w:val="24"/>
            <w:szCs w:val="24"/>
          </w:rPr>
          <w:t>25</w:t>
        </w:r>
      </w:hyperlink>
      <w:r w:rsidRPr="00454907">
        <w:rPr>
          <w:sz w:val="24"/>
          <w:szCs w:val="24"/>
        </w:rPr>
        <w:t xml:space="preserve"> </w:t>
      </w:r>
      <w:hyperlink r:id="rId11" w:tooltip="Juin 1998" w:history="1">
        <w:r w:rsidRPr="00454907">
          <w:rPr>
            <w:sz w:val="24"/>
            <w:szCs w:val="24"/>
          </w:rPr>
          <w:t>juin</w:t>
        </w:r>
      </w:hyperlink>
      <w:r w:rsidRPr="00454907">
        <w:rPr>
          <w:sz w:val="24"/>
          <w:szCs w:val="24"/>
        </w:rPr>
        <w:t xml:space="preserve"> </w:t>
      </w:r>
      <w:hyperlink r:id="rId12" w:tooltip="1998" w:history="1">
        <w:r w:rsidRPr="00454907">
          <w:rPr>
            <w:sz w:val="24"/>
            <w:szCs w:val="24"/>
          </w:rPr>
          <w:t>1998</w:t>
        </w:r>
      </w:hyperlink>
      <w:r w:rsidRPr="00454907">
        <w:rPr>
          <w:sz w:val="24"/>
          <w:szCs w:val="24"/>
        </w:rPr>
        <w:t xml:space="preserve"> par 39 États, dont la France.</w:t>
      </w:r>
    </w:p>
    <w:p w:rsidR="00E84489" w:rsidRPr="00454907" w:rsidRDefault="00E84489" w:rsidP="001045CC">
      <w:pPr>
        <w:autoSpaceDE w:val="0"/>
        <w:autoSpaceDN w:val="0"/>
        <w:adjustRightInd w:val="0"/>
        <w:spacing w:before="240" w:after="120" w:line="360" w:lineRule="auto"/>
        <w:jc w:val="both"/>
        <w:rPr>
          <w:sz w:val="24"/>
          <w:szCs w:val="24"/>
        </w:rPr>
      </w:pPr>
      <w:r w:rsidRPr="00454907">
        <w:rPr>
          <w:sz w:val="24"/>
          <w:szCs w:val="24"/>
        </w:rPr>
        <w:t>L</w:t>
      </w:r>
      <w:r w:rsidR="003C3F36" w:rsidRPr="00454907">
        <w:rPr>
          <w:sz w:val="24"/>
          <w:szCs w:val="24"/>
        </w:rPr>
        <w:t xml:space="preserve">e droit de participation du public à l’élaboration des décisions ayant une incidence sur l’environnement, comme les plans locaux d’urbanisme, comporte trois piliers : </w:t>
      </w:r>
    </w:p>
    <w:p w:rsidR="00E84489" w:rsidRPr="00454907" w:rsidRDefault="00E84489" w:rsidP="001045CC">
      <w:pPr>
        <w:autoSpaceDE w:val="0"/>
        <w:autoSpaceDN w:val="0"/>
        <w:adjustRightInd w:val="0"/>
        <w:spacing w:before="240" w:after="120"/>
        <w:jc w:val="both"/>
        <w:rPr>
          <w:sz w:val="24"/>
          <w:szCs w:val="24"/>
        </w:rPr>
      </w:pPr>
      <w:r w:rsidRPr="00454907">
        <w:rPr>
          <w:sz w:val="24"/>
          <w:szCs w:val="24"/>
        </w:rPr>
        <w:t xml:space="preserve">-L’information, </w:t>
      </w:r>
    </w:p>
    <w:p w:rsidR="001045CC" w:rsidRPr="00454907" w:rsidRDefault="00E84489" w:rsidP="001045CC">
      <w:pPr>
        <w:autoSpaceDE w:val="0"/>
        <w:autoSpaceDN w:val="0"/>
        <w:adjustRightInd w:val="0"/>
        <w:spacing w:before="240" w:after="120"/>
        <w:jc w:val="both"/>
        <w:rPr>
          <w:sz w:val="24"/>
          <w:szCs w:val="24"/>
        </w:rPr>
      </w:pPr>
      <w:r w:rsidRPr="00454907">
        <w:rPr>
          <w:sz w:val="24"/>
          <w:szCs w:val="24"/>
        </w:rPr>
        <w:t>-L</w:t>
      </w:r>
      <w:r w:rsidR="003C3F36" w:rsidRPr="00454907">
        <w:rPr>
          <w:sz w:val="24"/>
          <w:szCs w:val="24"/>
        </w:rPr>
        <w:t>e recuei</w:t>
      </w:r>
      <w:r w:rsidRPr="00454907">
        <w:rPr>
          <w:sz w:val="24"/>
          <w:szCs w:val="24"/>
        </w:rPr>
        <w:t xml:space="preserve">l des observations du public </w:t>
      </w:r>
    </w:p>
    <w:p w:rsidR="00E84489" w:rsidRPr="00454907" w:rsidRDefault="00E84489" w:rsidP="001045CC">
      <w:pPr>
        <w:autoSpaceDE w:val="0"/>
        <w:autoSpaceDN w:val="0"/>
        <w:adjustRightInd w:val="0"/>
        <w:spacing w:before="240" w:after="120"/>
        <w:jc w:val="both"/>
        <w:rPr>
          <w:sz w:val="24"/>
          <w:szCs w:val="24"/>
        </w:rPr>
      </w:pPr>
      <w:r w:rsidRPr="00454907">
        <w:rPr>
          <w:sz w:val="24"/>
          <w:szCs w:val="24"/>
        </w:rPr>
        <w:t xml:space="preserve">-Et </w:t>
      </w:r>
      <w:r w:rsidR="003C3F36" w:rsidRPr="00454907">
        <w:rPr>
          <w:sz w:val="24"/>
          <w:szCs w:val="24"/>
        </w:rPr>
        <w:t xml:space="preserve">la restitution des observations recueillies au cours des consultations antérieures. </w:t>
      </w:r>
    </w:p>
    <w:p w:rsidR="001045CC" w:rsidRPr="00454907" w:rsidRDefault="003C3F36" w:rsidP="001045CC">
      <w:pPr>
        <w:autoSpaceDE w:val="0"/>
        <w:autoSpaceDN w:val="0"/>
        <w:adjustRightInd w:val="0"/>
        <w:spacing w:before="240" w:after="120" w:line="360" w:lineRule="auto"/>
        <w:jc w:val="both"/>
        <w:rPr>
          <w:sz w:val="24"/>
          <w:szCs w:val="24"/>
        </w:rPr>
      </w:pPr>
      <w:r w:rsidRPr="00454907">
        <w:rPr>
          <w:sz w:val="24"/>
          <w:szCs w:val="24"/>
        </w:rPr>
        <w:t>C</w:t>
      </w:r>
      <w:r w:rsidR="00E84489" w:rsidRPr="00454907">
        <w:rPr>
          <w:sz w:val="24"/>
          <w:szCs w:val="24"/>
        </w:rPr>
        <w:t>’</w:t>
      </w:r>
      <w:r w:rsidRPr="00454907">
        <w:rPr>
          <w:sz w:val="24"/>
          <w:szCs w:val="24"/>
        </w:rPr>
        <w:t>e</w:t>
      </w:r>
      <w:r w:rsidR="00E84489" w:rsidRPr="00454907">
        <w:rPr>
          <w:sz w:val="24"/>
          <w:szCs w:val="24"/>
        </w:rPr>
        <w:t>st ce</w:t>
      </w:r>
      <w:r w:rsidRPr="00454907">
        <w:rPr>
          <w:sz w:val="24"/>
          <w:szCs w:val="24"/>
        </w:rPr>
        <w:t xml:space="preserve"> troisième pilier </w:t>
      </w:r>
      <w:r w:rsidR="00E84489" w:rsidRPr="00454907">
        <w:rPr>
          <w:sz w:val="24"/>
          <w:szCs w:val="24"/>
        </w:rPr>
        <w:t>qui est</w:t>
      </w:r>
      <w:r w:rsidRPr="00454907">
        <w:rPr>
          <w:sz w:val="24"/>
          <w:szCs w:val="24"/>
        </w:rPr>
        <w:t xml:space="preserve"> mis en œuvre par la loi du 20 mars 2012 dans </w:t>
      </w:r>
      <w:r w:rsidR="00E84489" w:rsidRPr="00454907">
        <w:rPr>
          <w:sz w:val="24"/>
          <w:szCs w:val="24"/>
        </w:rPr>
        <w:t xml:space="preserve">le cadre de </w:t>
      </w:r>
      <w:r w:rsidRPr="00454907">
        <w:rPr>
          <w:sz w:val="24"/>
          <w:szCs w:val="24"/>
        </w:rPr>
        <w:t xml:space="preserve">la procédure liée à la note d’information du public prévue par l’application, ou </w:t>
      </w:r>
      <w:proofErr w:type="gramStart"/>
      <w:r w:rsidRPr="00454907">
        <w:rPr>
          <w:sz w:val="24"/>
          <w:szCs w:val="24"/>
        </w:rPr>
        <w:t>la</w:t>
      </w:r>
      <w:proofErr w:type="gramEnd"/>
      <w:r w:rsidRPr="00454907">
        <w:rPr>
          <w:sz w:val="24"/>
          <w:szCs w:val="24"/>
        </w:rPr>
        <w:t xml:space="preserve"> non application, de la majoration des droits à construire.</w:t>
      </w:r>
    </w:p>
    <w:p w:rsidR="00E84489" w:rsidRPr="00454907" w:rsidRDefault="003C3F36" w:rsidP="001045CC">
      <w:pPr>
        <w:autoSpaceDE w:val="0"/>
        <w:autoSpaceDN w:val="0"/>
        <w:adjustRightInd w:val="0"/>
        <w:spacing w:before="240" w:after="120" w:line="360" w:lineRule="auto"/>
        <w:jc w:val="both"/>
        <w:rPr>
          <w:sz w:val="24"/>
          <w:szCs w:val="24"/>
        </w:rPr>
      </w:pPr>
      <w:r w:rsidRPr="00454907">
        <w:rPr>
          <w:sz w:val="24"/>
          <w:szCs w:val="24"/>
        </w:rPr>
        <w:t>Cet amendement vise donc à conserver cette avancée en l’</w:t>
      </w:r>
      <w:r w:rsidR="00E84489" w:rsidRPr="00454907">
        <w:rPr>
          <w:sz w:val="24"/>
          <w:szCs w:val="24"/>
        </w:rPr>
        <w:t>appliquant</w:t>
      </w:r>
      <w:r w:rsidRPr="00454907">
        <w:rPr>
          <w:sz w:val="24"/>
          <w:szCs w:val="24"/>
        </w:rPr>
        <w:t xml:space="preserve"> à l’élaboration et à la modification des plans locaux d’urbanisme. </w:t>
      </w:r>
    </w:p>
    <w:p w:rsidR="001B50E1" w:rsidRPr="00454907" w:rsidRDefault="001B50E1" w:rsidP="001045CC">
      <w:pPr>
        <w:autoSpaceDE w:val="0"/>
        <w:autoSpaceDN w:val="0"/>
        <w:adjustRightInd w:val="0"/>
        <w:spacing w:before="240" w:after="120" w:line="360" w:lineRule="auto"/>
        <w:jc w:val="both"/>
        <w:rPr>
          <w:sz w:val="24"/>
          <w:szCs w:val="24"/>
        </w:rPr>
      </w:pPr>
      <w:r w:rsidRPr="00454907">
        <w:rPr>
          <w:sz w:val="24"/>
          <w:szCs w:val="24"/>
        </w:rPr>
        <w:t>Il s’agit de moderniser et d’élargir un dispositif déjà introduit dans le champ de l’aménagement par la réforme de la loi du 10 juillet 1985 (article L. 300-2 du code de l’urbanisme).</w:t>
      </w:r>
    </w:p>
    <w:p w:rsidR="001045CC" w:rsidRPr="00454907" w:rsidRDefault="001B50E1" w:rsidP="001045CC">
      <w:pPr>
        <w:autoSpaceDE w:val="0"/>
        <w:autoSpaceDN w:val="0"/>
        <w:adjustRightInd w:val="0"/>
        <w:spacing w:before="240" w:after="120" w:line="360" w:lineRule="auto"/>
        <w:jc w:val="both"/>
        <w:rPr>
          <w:sz w:val="24"/>
          <w:szCs w:val="24"/>
        </w:rPr>
      </w:pPr>
      <w:r w:rsidRPr="00454907">
        <w:rPr>
          <w:sz w:val="24"/>
          <w:szCs w:val="24"/>
        </w:rPr>
        <w:t>Il est de plus en plus primordial d’associer les citoyens à la préparation et aux prises de décisions en matière d’urbanisme au moment où les recours se multiplient.</w:t>
      </w:r>
    </w:p>
    <w:p w:rsidR="001045CC" w:rsidRPr="00454907" w:rsidRDefault="001D0431" w:rsidP="001045CC">
      <w:pPr>
        <w:autoSpaceDE w:val="0"/>
        <w:autoSpaceDN w:val="0"/>
        <w:adjustRightInd w:val="0"/>
        <w:spacing w:before="240" w:after="120" w:line="360" w:lineRule="auto"/>
        <w:jc w:val="both"/>
        <w:rPr>
          <w:sz w:val="24"/>
          <w:szCs w:val="24"/>
        </w:rPr>
      </w:pPr>
      <w:r w:rsidRPr="00454907">
        <w:rPr>
          <w:sz w:val="24"/>
          <w:szCs w:val="24"/>
        </w:rPr>
        <w:t>Maire de la zone dense parisienne, je sais que nous ne pourrons pas construire la ville sur la ville</w:t>
      </w:r>
      <w:r w:rsidR="001B50E1" w:rsidRPr="00454907">
        <w:rPr>
          <w:sz w:val="24"/>
          <w:szCs w:val="24"/>
        </w:rPr>
        <w:t>,</w:t>
      </w:r>
      <w:r w:rsidRPr="00454907">
        <w:rPr>
          <w:sz w:val="24"/>
          <w:szCs w:val="24"/>
        </w:rPr>
        <w:t xml:space="preserve"> comme nous sommes appelés à le faire si nous voulons répondre à l’importante demande </w:t>
      </w:r>
      <w:r w:rsidR="001B50E1" w:rsidRPr="00454907">
        <w:rPr>
          <w:sz w:val="24"/>
          <w:szCs w:val="24"/>
        </w:rPr>
        <w:t>de</w:t>
      </w:r>
      <w:r w:rsidRPr="00454907">
        <w:rPr>
          <w:sz w:val="24"/>
          <w:szCs w:val="24"/>
        </w:rPr>
        <w:t xml:space="preserve"> logement</w:t>
      </w:r>
      <w:r w:rsidR="001B50E1" w:rsidRPr="00454907">
        <w:rPr>
          <w:sz w:val="24"/>
          <w:szCs w:val="24"/>
        </w:rPr>
        <w:t>s,</w:t>
      </w:r>
      <w:r w:rsidRPr="00454907">
        <w:rPr>
          <w:sz w:val="24"/>
          <w:szCs w:val="24"/>
        </w:rPr>
        <w:t xml:space="preserve"> si nous </w:t>
      </w:r>
      <w:r w:rsidR="001B50E1" w:rsidRPr="00454907">
        <w:rPr>
          <w:sz w:val="24"/>
          <w:szCs w:val="24"/>
        </w:rPr>
        <w:t>ne travaillons</w:t>
      </w:r>
      <w:r w:rsidRPr="00454907">
        <w:rPr>
          <w:sz w:val="24"/>
          <w:szCs w:val="24"/>
        </w:rPr>
        <w:t xml:space="preserve"> pas étroitement </w:t>
      </w:r>
      <w:r w:rsidR="001B50E1" w:rsidRPr="00454907">
        <w:rPr>
          <w:sz w:val="24"/>
          <w:szCs w:val="24"/>
        </w:rPr>
        <w:t xml:space="preserve">avec </w:t>
      </w:r>
      <w:r w:rsidRPr="00454907">
        <w:rPr>
          <w:sz w:val="24"/>
          <w:szCs w:val="24"/>
        </w:rPr>
        <w:t>les habitants de nos territoires.</w:t>
      </w:r>
      <w:bookmarkStart w:id="0" w:name="_GoBack"/>
      <w:bookmarkEnd w:id="0"/>
    </w:p>
    <w:p w:rsidR="001B50E1" w:rsidRPr="00454907" w:rsidRDefault="001B50E1" w:rsidP="001045CC">
      <w:pPr>
        <w:autoSpaceDE w:val="0"/>
        <w:autoSpaceDN w:val="0"/>
        <w:adjustRightInd w:val="0"/>
        <w:spacing w:before="240" w:after="120" w:line="360" w:lineRule="auto"/>
        <w:jc w:val="both"/>
        <w:rPr>
          <w:sz w:val="24"/>
          <w:szCs w:val="24"/>
        </w:rPr>
      </w:pPr>
      <w:r w:rsidRPr="00454907">
        <w:rPr>
          <w:sz w:val="24"/>
          <w:szCs w:val="24"/>
        </w:rPr>
        <w:t>C’est</w:t>
      </w:r>
      <w:r w:rsidR="004C0300" w:rsidRPr="00454907">
        <w:rPr>
          <w:sz w:val="24"/>
          <w:szCs w:val="24"/>
        </w:rPr>
        <w:t xml:space="preserve"> là</w:t>
      </w:r>
      <w:r w:rsidRPr="00454907">
        <w:rPr>
          <w:sz w:val="24"/>
          <w:szCs w:val="24"/>
        </w:rPr>
        <w:t xml:space="preserve"> la meilleure façon d’assurer l’avenir de nos projets.</w:t>
      </w:r>
    </w:p>
    <w:p w:rsidR="001045CC" w:rsidRPr="00454907" w:rsidRDefault="001045CC" w:rsidP="001045CC">
      <w:pPr>
        <w:autoSpaceDE w:val="0"/>
        <w:autoSpaceDN w:val="0"/>
        <w:adjustRightInd w:val="0"/>
        <w:spacing w:before="240" w:after="120" w:line="360" w:lineRule="auto"/>
        <w:jc w:val="both"/>
        <w:rPr>
          <w:sz w:val="24"/>
          <w:szCs w:val="24"/>
        </w:rPr>
      </w:pPr>
      <w:r w:rsidRPr="00454907">
        <w:rPr>
          <w:sz w:val="24"/>
          <w:szCs w:val="24"/>
        </w:rPr>
        <w:t>Je vous remercie.</w:t>
      </w:r>
    </w:p>
    <w:p w:rsidR="003C3F36" w:rsidRPr="00454907" w:rsidRDefault="003C3F36" w:rsidP="003C3F36">
      <w:pPr>
        <w:rPr>
          <w:sz w:val="24"/>
          <w:szCs w:val="24"/>
        </w:rPr>
      </w:pPr>
    </w:p>
    <w:p w:rsidR="003C3F36" w:rsidRPr="00454907" w:rsidRDefault="003C3F36" w:rsidP="003C3F36">
      <w:pPr>
        <w:rPr>
          <w:sz w:val="24"/>
          <w:szCs w:val="24"/>
        </w:rPr>
      </w:pPr>
    </w:p>
    <w:p w:rsidR="003C3F36" w:rsidRPr="00454907" w:rsidRDefault="003C3F36" w:rsidP="003C3F36">
      <w:pPr>
        <w:rPr>
          <w:sz w:val="24"/>
          <w:szCs w:val="24"/>
        </w:rPr>
      </w:pPr>
    </w:p>
    <w:sectPr w:rsidR="003C3F36" w:rsidRPr="00454907" w:rsidSect="001045CC">
      <w:footerReference w:type="default" r:id="rId13"/>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405" w:rsidRDefault="006E1405" w:rsidP="00C065B6">
      <w:pPr>
        <w:spacing w:after="0" w:line="240" w:lineRule="auto"/>
      </w:pPr>
      <w:r>
        <w:separator/>
      </w:r>
    </w:p>
  </w:endnote>
  <w:endnote w:type="continuationSeparator" w:id="0">
    <w:p w:rsidR="006E1405" w:rsidRDefault="006E1405" w:rsidP="00C06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601770"/>
      <w:docPartObj>
        <w:docPartGallery w:val="Page Numbers (Bottom of Page)"/>
        <w:docPartUnique/>
      </w:docPartObj>
    </w:sdtPr>
    <w:sdtEndPr/>
    <w:sdtContent>
      <w:p w:rsidR="00C065B6" w:rsidRDefault="00C065B6">
        <w:pPr>
          <w:pStyle w:val="Pieddepage"/>
          <w:jc w:val="center"/>
        </w:pPr>
        <w:r>
          <w:fldChar w:fldCharType="begin"/>
        </w:r>
        <w:r>
          <w:instrText>PAGE   \* MERGEFORMAT</w:instrText>
        </w:r>
        <w:r>
          <w:fldChar w:fldCharType="separate"/>
        </w:r>
        <w:r w:rsidR="00454907">
          <w:rPr>
            <w:noProof/>
          </w:rPr>
          <w:t>3</w:t>
        </w:r>
        <w:r>
          <w:fldChar w:fldCharType="end"/>
        </w:r>
      </w:p>
    </w:sdtContent>
  </w:sdt>
  <w:p w:rsidR="00C065B6" w:rsidRDefault="00C065B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405" w:rsidRDefault="006E1405" w:rsidP="00C065B6">
      <w:pPr>
        <w:spacing w:after="0" w:line="240" w:lineRule="auto"/>
      </w:pPr>
      <w:r>
        <w:separator/>
      </w:r>
    </w:p>
  </w:footnote>
  <w:footnote w:type="continuationSeparator" w:id="0">
    <w:p w:rsidR="006E1405" w:rsidRDefault="006E1405" w:rsidP="00C065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BB6"/>
    <w:rsid w:val="00000BB6"/>
    <w:rsid w:val="000E13E0"/>
    <w:rsid w:val="001045CC"/>
    <w:rsid w:val="001B4394"/>
    <w:rsid w:val="001B50E1"/>
    <w:rsid w:val="001D0431"/>
    <w:rsid w:val="003C3F36"/>
    <w:rsid w:val="00454907"/>
    <w:rsid w:val="004C0300"/>
    <w:rsid w:val="006E1405"/>
    <w:rsid w:val="009D2CB9"/>
    <w:rsid w:val="00C065B6"/>
    <w:rsid w:val="00C975D8"/>
    <w:rsid w:val="00D75CDD"/>
    <w:rsid w:val="00E84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65B6"/>
    <w:rPr>
      <w:color w:val="0000FF"/>
      <w:u w:val="single"/>
    </w:rPr>
  </w:style>
  <w:style w:type="paragraph" w:styleId="En-tte">
    <w:name w:val="header"/>
    <w:basedOn w:val="Normal"/>
    <w:link w:val="En-tteCar"/>
    <w:uiPriority w:val="99"/>
    <w:unhideWhenUsed/>
    <w:rsid w:val="00C065B6"/>
    <w:pPr>
      <w:tabs>
        <w:tab w:val="center" w:pos="4536"/>
        <w:tab w:val="right" w:pos="9072"/>
      </w:tabs>
      <w:spacing w:after="0" w:line="240" w:lineRule="auto"/>
    </w:pPr>
  </w:style>
  <w:style w:type="character" w:customStyle="1" w:styleId="En-tteCar">
    <w:name w:val="En-tête Car"/>
    <w:basedOn w:val="Policepardfaut"/>
    <w:link w:val="En-tte"/>
    <w:uiPriority w:val="99"/>
    <w:rsid w:val="00C065B6"/>
  </w:style>
  <w:style w:type="paragraph" w:styleId="Pieddepage">
    <w:name w:val="footer"/>
    <w:basedOn w:val="Normal"/>
    <w:link w:val="PieddepageCar"/>
    <w:uiPriority w:val="99"/>
    <w:unhideWhenUsed/>
    <w:rsid w:val="00C065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5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3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065B6"/>
    <w:rPr>
      <w:color w:val="0000FF"/>
      <w:u w:val="single"/>
    </w:rPr>
  </w:style>
  <w:style w:type="paragraph" w:styleId="En-tte">
    <w:name w:val="header"/>
    <w:basedOn w:val="Normal"/>
    <w:link w:val="En-tteCar"/>
    <w:uiPriority w:val="99"/>
    <w:unhideWhenUsed/>
    <w:rsid w:val="00C065B6"/>
    <w:pPr>
      <w:tabs>
        <w:tab w:val="center" w:pos="4536"/>
        <w:tab w:val="right" w:pos="9072"/>
      </w:tabs>
      <w:spacing w:after="0" w:line="240" w:lineRule="auto"/>
    </w:pPr>
  </w:style>
  <w:style w:type="character" w:customStyle="1" w:styleId="En-tteCar">
    <w:name w:val="En-tête Car"/>
    <w:basedOn w:val="Policepardfaut"/>
    <w:link w:val="En-tte"/>
    <w:uiPriority w:val="99"/>
    <w:rsid w:val="00C065B6"/>
  </w:style>
  <w:style w:type="paragraph" w:styleId="Pieddepage">
    <w:name w:val="footer"/>
    <w:basedOn w:val="Normal"/>
    <w:link w:val="PieddepageCar"/>
    <w:uiPriority w:val="99"/>
    <w:unhideWhenUsed/>
    <w:rsid w:val="00C065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05123">
      <w:bodyDiv w:val="1"/>
      <w:marLeft w:val="0"/>
      <w:marRight w:val="0"/>
      <w:marTop w:val="0"/>
      <w:marBottom w:val="0"/>
      <w:divBdr>
        <w:top w:val="none" w:sz="0" w:space="0" w:color="auto"/>
        <w:left w:val="none" w:sz="0" w:space="0" w:color="auto"/>
        <w:bottom w:val="none" w:sz="0" w:space="0" w:color="auto"/>
        <w:right w:val="none" w:sz="0" w:space="0" w:color="auto"/>
      </w:divBdr>
      <w:divsChild>
        <w:div w:id="415857984">
          <w:marLeft w:val="0"/>
          <w:marRight w:val="0"/>
          <w:marTop w:val="0"/>
          <w:marBottom w:val="0"/>
          <w:divBdr>
            <w:top w:val="none" w:sz="0" w:space="0" w:color="auto"/>
            <w:left w:val="none" w:sz="0" w:space="0" w:color="auto"/>
            <w:bottom w:val="none" w:sz="0" w:space="0" w:color="auto"/>
            <w:right w:val="none" w:sz="0" w:space="0" w:color="auto"/>
          </w:divBdr>
          <w:divsChild>
            <w:div w:id="540899691">
              <w:marLeft w:val="0"/>
              <w:marRight w:val="0"/>
              <w:marTop w:val="0"/>
              <w:marBottom w:val="0"/>
              <w:divBdr>
                <w:top w:val="none" w:sz="0" w:space="0" w:color="auto"/>
                <w:left w:val="none" w:sz="0" w:space="0" w:color="auto"/>
                <w:bottom w:val="none" w:sz="0" w:space="0" w:color="auto"/>
                <w:right w:val="none" w:sz="0" w:space="0" w:color="auto"/>
              </w:divBdr>
              <w:divsChild>
                <w:div w:id="781343921">
                  <w:marLeft w:val="0"/>
                  <w:marRight w:val="0"/>
                  <w:marTop w:val="0"/>
                  <w:marBottom w:val="0"/>
                  <w:divBdr>
                    <w:top w:val="none" w:sz="0" w:space="0" w:color="auto"/>
                    <w:left w:val="none" w:sz="0" w:space="0" w:color="auto"/>
                    <w:bottom w:val="none" w:sz="0" w:space="0" w:color="auto"/>
                    <w:right w:val="none" w:sz="0" w:space="0" w:color="auto"/>
                  </w:divBdr>
                  <w:divsChild>
                    <w:div w:id="444083611">
                      <w:marLeft w:val="300"/>
                      <w:marRight w:val="225"/>
                      <w:marTop w:val="0"/>
                      <w:marBottom w:val="0"/>
                      <w:divBdr>
                        <w:top w:val="none" w:sz="0" w:space="0" w:color="auto"/>
                        <w:left w:val="none" w:sz="0" w:space="0" w:color="auto"/>
                        <w:bottom w:val="none" w:sz="0" w:space="0" w:color="auto"/>
                        <w:right w:val="none" w:sz="0" w:space="0" w:color="auto"/>
                      </w:divBdr>
                      <w:divsChild>
                        <w:div w:id="298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Particip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fr.wikipedia.org/wiki/Droit_%C3%A0_l%27information" TargetMode="External"/><Relationship Id="rId12" Type="http://schemas.openxmlformats.org/officeDocument/2006/relationships/hyperlink" Target="http://fr.wikipedia.org/wiki/199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r.wikipedia.org/wiki/Juin_1998"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r.wikipedia.org/wiki/25_juin" TargetMode="External"/><Relationship Id="rId4" Type="http://schemas.openxmlformats.org/officeDocument/2006/relationships/webSettings" Target="webSettings.xml"/><Relationship Id="rId9" Type="http://schemas.openxmlformats.org/officeDocument/2006/relationships/hyperlink" Target="http://fr.wikipedia.org/wiki/Environnemen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4621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Mareau</dc:creator>
  <cp:lastModifiedBy>Pierre Mareau</cp:lastModifiedBy>
  <cp:revision>2</cp:revision>
  <dcterms:created xsi:type="dcterms:W3CDTF">2012-07-10T15:49:00Z</dcterms:created>
  <dcterms:modified xsi:type="dcterms:W3CDTF">2012-07-10T15:49:00Z</dcterms:modified>
</cp:coreProperties>
</file>